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fh95fn5h1qpp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Model de sesizare către Primărie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480" w:right="48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Acest text este pentru documentul (.docx) pe care îl atașezi la e‑mail.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Completează câmpurile marcate cu [ ].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Către: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Primăria [Municipiului/Orașului] [Localitate]</w:t>
        <w:br w:type="textWrapping"/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atenția: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Primarului</w:t>
        <w:br w:type="textWrapping"/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[Nume complet]</w:t>
        <w:br w:type="textWrapping"/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Adresă e‑mail pentru răspuns: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[e‑mail]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[zz.ll.aaaa]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8jvumbli5q65" w:id="1"/>
    <w:bookmarkEnd w:id="1"/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SESIZARE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Subsemnatul(a)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[Nume complet]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în temeiul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O.G. nr. 27/2002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privind reglementarea activității de soluționare a petițiilor (aprobată prin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Legea nr. 233/2002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formulez prezenta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sesizare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referitoare la existența unui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depozit ilegal de deșeuri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situat în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[localitate/cartier]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[locația exactă: pin GPS/adresă/repere]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pds6ktcvl415" w:id="2"/>
    <w:bookmarkEnd w:id="2"/>
    <w:p w:rsidR="00000000" w:rsidDel="00000000" w:rsidP="00000000" w:rsidRDefault="00000000" w:rsidRPr="00000000" w14:paraId="00000008">
      <w:pPr>
        <w:pStyle w:val="Heading3"/>
        <w:rPr/>
      </w:pPr>
      <w:r w:rsidDel="00000000" w:rsidR="00000000" w:rsidRPr="00000000">
        <w:rPr>
          <w:rtl w:val="0"/>
        </w:rPr>
        <w:t xml:space="preserve">Descrierea situației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deșeurilor (estimare):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[menajere / construcții (moloz) / vegetale / voluminoase (mobilier, saltele) / anvelope / DEEE (electrocasnice) / altele].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Volum aproximativ: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[ex. ~10 saci / ~2 m³ / ~3 locuri de parcare / ~20 m de‑a lungul drumului].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Momentul constatării: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[zz.ll.aaaa, hh:mm]; dacă persistă, menționez perioada estimată.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Dovezi: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fotografii (3–5) și captură cu pin GPS —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anexate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2r7mkv6hy4bv" w:id="3"/>
    <w:bookmarkEnd w:id="3"/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rtl w:val="0"/>
        </w:rPr>
        <w:t xml:space="preserve">Temei și competență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Potrivit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O.U.G. nr. 92/2021 privind regimul deșeurilor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(aprobată prin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Legea nr. 17/2023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abandonarea/aruncarea/ascunderea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deșeurilor sunt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interzise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20 alin. (3)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iar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eliminarea, deținerea și păstrarea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deșeurilor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afara spațiilor autorizate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sunt, de asemenea,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interzise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20 alin. (4)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O.U.G. nr. 195/2005 privind protecția mediului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autoritățile administrației publice locale, precum și persoanele fizice/juridice au obligații explicite privind curățenia urbană și depozitările: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menținerea curățeniei stradale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70 lit. 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și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interdicția degradării mediului prin depozitări necontrolate de deșeuri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70 lit. 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 nerespectarea obligațiilor legale constituie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contravenție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96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  <w:br w:type="textWrapping"/>
        <w:t xml:space="preserve">În plus,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Legea nr. 101/2006 a serviciului de salubrizare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prevede că serviciul public de salubrizare se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organizează și se desfășoară sub controlul autorităților administrației publice locale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în scopul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salubrizării localităților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 alin. (1)–(3)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 procedură, potrivit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O.G. nr. 27/2002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autoritatea are obligația să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înregistreze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petiția/sesizarea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și să comunice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răspunsul în 30 de zile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înregistrare (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8 alin. (1)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bookmarkStart w:colFirst="0" w:colLast="0" w:name="bookmark=id.ylqsga631l03" w:id="4"/>
    <w:bookmarkEnd w:id="4"/>
    <w:p w:rsidR="00000000" w:rsidDel="00000000" w:rsidP="00000000" w:rsidRDefault="00000000" w:rsidRPr="00000000" w14:paraId="00000011">
      <w:pPr>
        <w:pStyle w:val="Heading3"/>
        <w:rPr/>
      </w:pPr>
      <w:r w:rsidDel="00000000" w:rsidR="00000000" w:rsidRPr="00000000">
        <w:rPr>
          <w:rtl w:val="0"/>
        </w:rPr>
        <w:t xml:space="preserve">Solicitări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Vă rog să dispuneți: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Verificarea la fața locului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constatarea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situației descrise;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Salubrizarea/evacuarea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deșeurilor (sau demersuri către proprietar și aplicarea măsurilor legale, dacă amplasamentul este privat);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Măsuri de prevenire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reapariției (semnalizare, monitorizare, controale, curățenie periodică etc.).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Vă rog să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înregistrați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prezenta sesizare și să-mi comunicați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de înregistrare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măsurile dispuse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prin răspuns la adresa de e‑mail indicată, în termenul legal menționat.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 deosebită considerație,</w:t>
        <w:br w:type="textWrapping"/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[Nume complet]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Fotografii (3–5 fișiere)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Harta/pin GPS 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QZgUlt+P1yCK48u0pGEW42ajw==">CgMxLjAyD2lkLmZoOTVmbjVoMXFwcDIPaWQuOGp2dW1ibGk1cTY1Mg9pZC5wZHM2a3Rjdmw0MTUyD2lkLjJyN21rdjZoeTRidjIPaWQueWxxc2dhNjMxbDAzOAByITFMYXd5SFBXLV9ELUFuVTl1RWpGZFNyb3liZ0hVcjRuUQ==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2025-10-09T15:39:37Z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